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87D" w:rsidRDefault="00EC7CD6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pict w14:anchorId="18E3AB50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50pt;height:50pt;z-index:251657728;visibility:hidden">
            <o:lock v:ext="edit" selection="t"/>
          </v:shape>
        </w:pict>
      </w:r>
    </w:p>
    <w:p w:rsidR="00B0787D" w:rsidRDefault="00B0787D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B0787D" w:rsidRDefault="00EC7CD6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2"/>
          <w:szCs w:val="22"/>
        </w:rPr>
        <w:t>DEFININDO A MATERIALIDADE NA FASE DE PLANEJAMENTO</w:t>
      </w:r>
    </w:p>
    <w:p w:rsidR="00B0787D" w:rsidRDefault="00B0787D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0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7270"/>
      </w:tblGrid>
      <w:tr w:rsidR="00B0787D">
        <w:tc>
          <w:tcPr>
            <w:tcW w:w="2370" w:type="dxa"/>
            <w:shd w:val="clear" w:color="auto" w:fill="CCCCCC"/>
          </w:tcPr>
          <w:p w:rsidR="00B0787D" w:rsidRDefault="00EC7CD6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UNIDADE </w:t>
            </w:r>
            <w:bookmarkStart w:id="1" w:name="_GoBack"/>
            <w:bookmarkEnd w:id="1"/>
            <w:r>
              <w:rPr>
                <w:rFonts w:ascii="Arial" w:eastAsia="Arial" w:hAnsi="Arial" w:cs="Arial"/>
                <w:b/>
                <w:sz w:val="20"/>
                <w:szCs w:val="20"/>
              </w:rPr>
              <w:t>JURISDICIONADA</w:t>
            </w:r>
          </w:p>
        </w:tc>
        <w:tc>
          <w:tcPr>
            <w:tcW w:w="7270" w:type="dxa"/>
            <w:shd w:val="clear" w:color="auto" w:fill="auto"/>
          </w:tcPr>
          <w:p w:rsidR="00B0787D" w:rsidRDefault="00B0787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0787D">
        <w:tc>
          <w:tcPr>
            <w:tcW w:w="2370" w:type="dxa"/>
            <w:shd w:val="clear" w:color="auto" w:fill="CCCCCC"/>
          </w:tcPr>
          <w:p w:rsidR="00B0787D" w:rsidRDefault="00EC7CD6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7270" w:type="dxa"/>
            <w:shd w:val="clear" w:color="auto" w:fill="auto"/>
          </w:tcPr>
          <w:p w:rsidR="00B0787D" w:rsidRDefault="00B0787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B0787D" w:rsidRDefault="00B0787D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1"/>
        <w:tblW w:w="96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40"/>
      </w:tblGrid>
      <w:tr w:rsidR="00B0787D">
        <w:trPr>
          <w:trHeight w:val="600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CFE2F3"/>
            <w:vAlign w:val="center"/>
          </w:tcPr>
          <w:p w:rsidR="00B0787D" w:rsidRDefault="00EC7CD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Definindo materialidade por valor (se o assunto/objeto for quantificável)</w:t>
            </w:r>
          </w:p>
        </w:tc>
      </w:tr>
      <w:tr w:rsidR="00B0787D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B0787D" w:rsidRDefault="00EC7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por valor:</w:t>
            </w:r>
          </w:p>
        </w:tc>
      </w:tr>
      <w:tr w:rsidR="00B0787D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B0787D" w:rsidRDefault="00EC7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B0787D" w:rsidRDefault="00B078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B0787D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B0787D" w:rsidRDefault="00EC7CD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Memória de cálculo da materialidade por valor:</w:t>
            </w:r>
          </w:p>
        </w:tc>
      </w:tr>
      <w:tr w:rsidR="00B0787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B0787D" w:rsidRDefault="00EC7CD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B0787D" w:rsidRDefault="00B0787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B0787D">
        <w:trPr>
          <w:trHeight w:val="42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CFE2F3"/>
            <w:vAlign w:val="center"/>
          </w:tcPr>
          <w:p w:rsidR="00B0787D" w:rsidRDefault="00EC7CD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Definindo materialidade qualitativa</w:t>
            </w:r>
          </w:p>
        </w:tc>
      </w:tr>
      <w:tr w:rsidR="00B0787D">
        <w:trPr>
          <w:trHeight w:val="42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B0787D" w:rsidRDefault="00EC7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por natureza:</w:t>
            </w:r>
          </w:p>
        </w:tc>
      </w:tr>
      <w:tr w:rsidR="00B0787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B0787D" w:rsidRDefault="00EC7CD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B0787D" w:rsidRDefault="00B0787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B0787D">
        <w:trPr>
          <w:trHeight w:val="33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B0787D" w:rsidRDefault="00EC7C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do contexto:</w:t>
            </w:r>
          </w:p>
        </w:tc>
      </w:tr>
      <w:tr w:rsidR="00B0787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vAlign w:val="center"/>
          </w:tcPr>
          <w:p w:rsidR="00B0787D" w:rsidRDefault="00EC7CD6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B0787D" w:rsidRDefault="00B0787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B0787D" w:rsidRDefault="00B0787D">
      <w:pPr>
        <w:tabs>
          <w:tab w:val="center" w:pos="4252"/>
          <w:tab w:val="right" w:pos="8504"/>
        </w:tabs>
        <w:rPr>
          <w:rFonts w:ascii="Arial" w:eastAsia="Arial" w:hAnsi="Arial" w:cs="Arial"/>
          <w:sz w:val="20"/>
          <w:szCs w:val="20"/>
        </w:rPr>
      </w:pPr>
    </w:p>
    <w:tbl>
      <w:tblPr>
        <w:tblStyle w:val="af2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645"/>
      </w:tblGrid>
      <w:tr w:rsidR="00B0787D">
        <w:tc>
          <w:tcPr>
            <w:tcW w:w="1995" w:type="dxa"/>
            <w:shd w:val="clear" w:color="auto" w:fill="CCCCCC"/>
          </w:tcPr>
          <w:p w:rsidR="00B0787D" w:rsidRDefault="00EC7CD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645" w:type="dxa"/>
            <w:shd w:val="clear" w:color="auto" w:fill="auto"/>
          </w:tcPr>
          <w:p w:rsidR="00B0787D" w:rsidRDefault="00B0787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0787D">
        <w:tc>
          <w:tcPr>
            <w:tcW w:w="9640" w:type="dxa"/>
            <w:gridSpan w:val="2"/>
            <w:shd w:val="clear" w:color="auto" w:fill="auto"/>
          </w:tcPr>
          <w:p w:rsidR="00B0787D" w:rsidRDefault="00EC7CD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B0787D" w:rsidRDefault="00EC7CD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B0787D" w:rsidRDefault="00EC7CD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B0787D" w:rsidRDefault="00EC7CD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B0787D" w:rsidRDefault="00EC7CD6">
      <w:pPr>
        <w:spacing w:before="57" w:after="57"/>
        <w:jc w:val="both"/>
        <w:rPr>
          <w:rFonts w:ascii="Arial" w:eastAsia="Arial" w:hAnsi="Arial" w:cs="Arial"/>
          <w:b/>
          <w:sz w:val="20"/>
          <w:szCs w:val="20"/>
        </w:rPr>
        <w:sectPr w:rsidR="00B0787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0" w:right="1133" w:bottom="1700" w:left="1133" w:header="709" w:footer="709" w:gutter="0"/>
          <w:pgNumType w:start="1"/>
          <w:cols w:space="720"/>
        </w:sectPr>
      </w:pPr>
      <w:r>
        <w:br w:type="page"/>
      </w:r>
    </w:p>
    <w:p w:rsidR="00B0787D" w:rsidRDefault="00EC7CD6">
      <w:pPr>
        <w:tabs>
          <w:tab w:val="center" w:pos="4252"/>
          <w:tab w:val="right" w:pos="8504"/>
        </w:tabs>
        <w:jc w:val="both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preencher a definição de materialidade na fase de planejamento</w:t>
      </w:r>
    </w:p>
    <w:p w:rsidR="00B0787D" w:rsidRDefault="00B0787D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3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B0787D">
        <w:trPr>
          <w:trHeight w:val="545"/>
        </w:trPr>
        <w:tc>
          <w:tcPr>
            <w:tcW w:w="1826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787D" w:rsidRDefault="00EC7CD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787D" w:rsidRDefault="00EC7CD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 preencher este papel de trabalho é para determinar a materialidade ao planejar e executar uma auditoria, sendo esta uma p</w:t>
            </w:r>
            <w:r>
              <w:rPr>
                <w:rFonts w:ascii="Arial" w:eastAsia="Arial" w:hAnsi="Arial" w:cs="Arial"/>
                <w:sz w:val="16"/>
                <w:szCs w:val="16"/>
              </w:rPr>
              <w:t>arte importante da estratégia global de auditoria. A materialidade determinada na fase de planejamento pode ser revisada conforme a auditoria avança.</w:t>
            </w:r>
          </w:p>
          <w:p w:rsidR="00B0787D" w:rsidRDefault="00B0787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B0787D" w:rsidRDefault="00EC7CD6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da materialidade é identificar questões de auditoria, baseadas na avaliação de risco, e garantir que qualquer não-conformidade abaixo do nível de materialidade não irá afetar a conclusão e nem o propósito para qual os relatórios são usados pelos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usuários.</w:t>
            </w:r>
          </w:p>
          <w:p w:rsidR="00B0787D" w:rsidRDefault="00B0787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0787D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787D" w:rsidRDefault="00EC7CD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787D" w:rsidRDefault="00EC7CD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trike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3000/73</w:t>
            </w:r>
          </w:p>
        </w:tc>
      </w:tr>
      <w:tr w:rsidR="00B0787D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787D" w:rsidRDefault="00EC7CD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Conceito de materialidade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787D" w:rsidRDefault="00EC7CD6">
            <w:pPr>
              <w:spacing w:before="240" w:after="12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Em linhas gerais, o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conceito de materialidade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reflete as medidas que o(s) usuário(s) da informação são mais suscetíveis a considerar importantes, incluindo dimensões relacionadas a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valor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natureza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contexto</w:t>
            </w:r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  <w:p w:rsidR="00B0787D" w:rsidRDefault="00EC7CD6">
            <w:pPr>
              <w:numPr>
                <w:ilvl w:val="0"/>
                <w:numId w:val="1"/>
              </w:numPr>
              <w:spacing w:before="240"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Materialidade por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valor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está relacionada a fatores quantitativos, como o número de pessoas ou entidades afetadas pelo objeto específico ou os valores monetários envolvidos, bem como no uso indevido de recursos públicos. A materialidade quantitativa, utilizada principalmente em 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rabalhos de certificação, é determinada pela aplicação de um percentual a uma referência escolhida como ponto de partida. </w:t>
            </w:r>
          </w:p>
          <w:p w:rsidR="00B0787D" w:rsidRDefault="00B0787D">
            <w:pPr>
              <w:spacing w:line="276" w:lineRule="auto"/>
              <w:ind w:left="72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B0787D" w:rsidRDefault="00EC7CD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Materialidade por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natureza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está relacionada com características inerentes e diz respeito a questões em que pode haver alto interesse político ou público, como por exemplo políticas públicas de interesse social ou questões previstas em legislação ou regulamentos. </w:t>
            </w:r>
          </w:p>
          <w:p w:rsidR="00B0787D" w:rsidRDefault="00B0787D">
            <w:pPr>
              <w:spacing w:line="276" w:lineRule="auto"/>
              <w:ind w:left="72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B0787D" w:rsidRDefault="00EC7CD6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Materialidade por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contexto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diz respeito a itens que são materiais por suas circunstâncias, de modo que mudam a impressão dada aos usuários. Inclui casos em que um pequeno erro ou não conformidade pode ter um efeito significativo, por exemplo, classificação errada de despes</w:t>
            </w:r>
            <w:r>
              <w:rPr>
                <w:rFonts w:ascii="Arial" w:eastAsia="Arial" w:hAnsi="Arial" w:cs="Arial"/>
                <w:sz w:val="16"/>
                <w:szCs w:val="16"/>
              </w:rPr>
              <w:t>as, mesmo que seu valor não seja material.</w:t>
            </w:r>
          </w:p>
        </w:tc>
      </w:tr>
      <w:tr w:rsidR="00B0787D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787D" w:rsidRDefault="00B0787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787D" w:rsidRDefault="00EC7CD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Gravando descrições relacionadas a determinação da materialidade:</w:t>
            </w:r>
          </w:p>
          <w:p w:rsidR="00B0787D" w:rsidRDefault="00EC7CD6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 linha 1, registre o valor da materialidade quantitativa </w:t>
            </w:r>
          </w:p>
          <w:p w:rsidR="00B0787D" w:rsidRDefault="00EC7CD6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 linha 2, registre a memória de cálculo que compõe o valor da materialidade quantitativa, como o valor é derivado e usado como referência. </w:t>
            </w:r>
          </w:p>
          <w:p w:rsidR="00B0787D" w:rsidRDefault="00EC7CD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Sobre a materialidade qualitativa:</w:t>
            </w:r>
          </w:p>
          <w:p w:rsidR="00B0787D" w:rsidRDefault="00EC7CD6">
            <w:pPr>
              <w:numPr>
                <w:ilvl w:val="0"/>
                <w:numId w:val="3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linha 1, registrar a razão pela qual a materialidade por natureza precisa se</w:t>
            </w:r>
            <w:r>
              <w:rPr>
                <w:rFonts w:ascii="Arial" w:eastAsia="Arial" w:hAnsi="Arial" w:cs="Arial"/>
                <w:sz w:val="16"/>
                <w:szCs w:val="16"/>
              </w:rPr>
              <w:t>r considerada durante a auditoria. Esse aspecto particular é crucial na auditoria do setor público.</w:t>
            </w:r>
          </w:p>
          <w:p w:rsidR="00B0787D" w:rsidRDefault="00EC7CD6">
            <w:pPr>
              <w:numPr>
                <w:ilvl w:val="0"/>
                <w:numId w:val="3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linha 2, registrar a razão pela qual a materialidade do contexto precisa ser considerada durante a auditoria. Ocasionalmente, pode se tratar de uma não-c</w:t>
            </w:r>
            <w:r>
              <w:rPr>
                <w:rFonts w:ascii="Arial" w:eastAsia="Arial" w:hAnsi="Arial" w:cs="Arial"/>
                <w:sz w:val="16"/>
                <w:szCs w:val="16"/>
              </w:rPr>
              <w:t>onformidade menor, mas que pode ter um efeito significativo.</w:t>
            </w:r>
          </w:p>
          <w:p w:rsidR="00B0787D" w:rsidRDefault="00B0787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B0787D" w:rsidRDefault="00EC7CD6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Ver páginas 45 e 46 do </w:t>
            </w:r>
            <w:hyperlink r:id="rId14"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 de A</w:t>
              </w:r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uditoria Operacional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 xml:space="preserve"> para maiores orientações sobre o conceito de materialidade para esse tipo de fiscalização.</w:t>
            </w:r>
          </w:p>
        </w:tc>
      </w:tr>
      <w:tr w:rsidR="00B0787D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787D" w:rsidRDefault="00EC7CD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787D" w:rsidRDefault="00EC7CD6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deve assinar este documento para garantir que ele foi revisado.</w:t>
            </w:r>
          </w:p>
        </w:tc>
      </w:tr>
    </w:tbl>
    <w:p w:rsidR="00B0787D" w:rsidRDefault="00B0787D">
      <w:pPr>
        <w:rPr>
          <w:rFonts w:ascii="Arial" w:eastAsia="Arial" w:hAnsi="Arial" w:cs="Arial"/>
          <w:b/>
          <w:sz w:val="22"/>
          <w:szCs w:val="22"/>
        </w:rPr>
      </w:pPr>
    </w:p>
    <w:sectPr w:rsidR="00B0787D">
      <w:pgSz w:w="11906" w:h="16838"/>
      <w:pgMar w:top="1700" w:right="1133" w:bottom="1700" w:left="1133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C7CD6">
      <w:r>
        <w:separator/>
      </w:r>
    </w:p>
  </w:endnote>
  <w:endnote w:type="continuationSeparator" w:id="0">
    <w:p w:rsidR="00000000" w:rsidRDefault="00EC7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87D" w:rsidRDefault="00B0787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87D" w:rsidRDefault="00EC7CD6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B0787D" w:rsidRDefault="00EC7CD6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87D" w:rsidRDefault="00B0787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C7CD6">
      <w:r>
        <w:separator/>
      </w:r>
    </w:p>
  </w:footnote>
  <w:footnote w:type="continuationSeparator" w:id="0">
    <w:p w:rsidR="00000000" w:rsidRDefault="00EC7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87D" w:rsidRDefault="00B0787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87D" w:rsidRDefault="00B0787D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4"/>
      <w:tblW w:w="107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60"/>
      <w:gridCol w:w="8220"/>
    </w:tblGrid>
    <w:tr w:rsidR="00B0787D">
      <w:trPr>
        <w:trHeight w:val="1418"/>
        <w:jc w:val="center"/>
      </w:trPr>
      <w:tc>
        <w:tcPr>
          <w:tcW w:w="2560" w:type="dxa"/>
          <w:vAlign w:val="center"/>
        </w:tcPr>
        <w:p w:rsidR="00B0787D" w:rsidRDefault="00EC7CD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inline distT="0" distB="0" distL="0" distR="0" wp14:anchorId="6598344B" wp14:editId="76FDD02A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0" w:type="dxa"/>
          <w:vAlign w:val="center"/>
        </w:tcPr>
        <w:p w:rsidR="00B0787D" w:rsidRDefault="00EC7CD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B0787D" w:rsidRDefault="00EC7CD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B0787D" w:rsidRDefault="00EC7CD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B0787D" w:rsidRDefault="00EC7CD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B0787D" w:rsidRDefault="00B0787D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B0787D" w:rsidRDefault="00B0787D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2" w:name="_heading=h.1fob9te" w:colFirst="0" w:colLast="0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87D" w:rsidRDefault="00B0787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5BDE"/>
    <w:multiLevelType w:val="multilevel"/>
    <w:tmpl w:val="49383D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EDA00C6"/>
    <w:multiLevelType w:val="multilevel"/>
    <w:tmpl w:val="B540C9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4A95624"/>
    <w:multiLevelType w:val="multilevel"/>
    <w:tmpl w:val="D930B5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87D"/>
    <w:rsid w:val="00B0787D"/>
    <w:rsid w:val="00EC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1C25467-D63E-494A-92B7-E44A5944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A28A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28A3"/>
  </w:style>
  <w:style w:type="paragraph" w:styleId="Rodap">
    <w:name w:val="footer"/>
    <w:basedOn w:val="Normal"/>
    <w:link w:val="RodapChar"/>
    <w:uiPriority w:val="99"/>
    <w:unhideWhenUsed/>
    <w:rsid w:val="008A28A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28A3"/>
  </w:style>
  <w:style w:type="table" w:styleId="Tabelacomgrade">
    <w:name w:val="Table Grid"/>
    <w:basedOn w:val="Tabelanormal"/>
    <w:uiPriority w:val="39"/>
    <w:rsid w:val="008A28A3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irbcontas.org.br/wp-content/uploads/2023/11/Manual-de-Implementacao-das-ISSAIs-Auditoria-Operacional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dx4N53jWPUkT3UZ4/skIUgzMXw==">CgMxLjAyCGguZ2pkZ3hzMgloLjFmb2I5dGU4AHIhMWx5dmNpMlVsdXhIREJfQzNpV0tZVEc5WVF4LTA2VHF3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2023-11-27T18:42:00Z</dcterms:created>
  <dcterms:modified xsi:type="dcterms:W3CDTF">2025-08-01T11:28:00Z</dcterms:modified>
</cp:coreProperties>
</file>